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lang w:val="en-US" w:eastAsia="zh-CN"/>
        </w:rPr>
        <w:t>附件四：</w:t>
      </w:r>
      <w:r>
        <w:rPr>
          <w:rFonts w:hint="eastAsia" w:ascii="黑体" w:hAnsi="黑体" w:eastAsia="黑体"/>
          <w:sz w:val="32"/>
          <w:szCs w:val="32"/>
        </w:rPr>
        <w:t>中国建筑学会学生会员入会条件</w:t>
      </w:r>
    </w:p>
    <w:p>
      <w:pPr>
        <w:spacing w:line="360" w:lineRule="auto"/>
        <w:jc w:val="center"/>
        <w:rPr>
          <w:rFonts w:hint="eastAsia" w:ascii="黑体" w:hAnsi="黑体" w:eastAsia="黑体"/>
          <w:sz w:val="32"/>
          <w:szCs w:val="32"/>
        </w:rPr>
      </w:pP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中国建筑学会学生会员由中国建筑学会学生工作委员会（简称：学工委）审核管理，并报中国建筑学会备案。学生会员入会应拥护中国建筑学会章程，有加入中国建筑学会学生会员的意愿，且在中国建筑学会的学生业务（行业、学科）领域内具有一定的影响。同时，满足本学工委设定的入会基本条件，方可进行入会申请，具体条件如下：</w:t>
      </w:r>
      <w:bookmarkStart w:id="0" w:name="_GoBack"/>
      <w:bookmarkEnd w:id="0"/>
    </w:p>
    <w:p>
      <w:pPr>
        <w:spacing w:before="156" w:beforeLines="50"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 本科生入会条件：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申请入会学生原则上应为中国建筑学会所属各专业领域的本科三年级以上的学生（含三年级学生），且申请人在最近一个完整教育年度内的年级排名应在前15%，或申请人满足下列所列情况之一：</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1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⑴</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获得过国际专业领域竞赛奖项；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2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⑵</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获得过国内专业领域竞赛奖项；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3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⑶</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在相关专业期刊上发表署名文章1篇以上（含1篇）；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4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⑷</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获得全国大学生优秀作业；</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5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⑸</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参与本专业领域社会公益活动并取得良好社会影响力；</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6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⑹</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由中国工程院院士、中国科学院院士、国家级设计大师、长江学者、杰出青年学者等本领域专家向学工委推荐学生会员，且每位专家每个学年推荐人数不超过3人；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7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⑺</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由通过专业评估的高校校长、院长或系主任等本领域专家向学工委推荐学生会员，且每位专家每个学年推荐人数不超过3人；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8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⑻</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其他由委员会认可的学术、荣誉、奖励、实践经历等。</w:t>
      </w:r>
    </w:p>
    <w:p>
      <w:pPr>
        <w:spacing w:before="156" w:beforeLines="50"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 研究生入会条件：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申请入会学生原则上应为中国建筑学会所属各领域的硕士或博士研究生，且申请人在最近一个完整教育年度内的年级排名应在前15%，或申请人满足下列所列情况之一：</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1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⑴</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获得过国际专业领域竞赛奖项；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2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⑵</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获得过国内专业领域竞赛奖项；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3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⑶</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在相关专业期刊上发表署名文章1篇以上（含1篇）；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4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⑷</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研究生本科期间毕业设计获得过优秀毕业设计或专职委评选的优秀作业；</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5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⑸</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获得过全国研究生年会或专业类学术年会优秀论文奖项；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6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⑹</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参与本专业领域社会实践或公益活动并取得良好社会影响力；</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7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⑺</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由中国工程院院士、中国科学院院士、大师、长江学者、杰出青年等本领域专家向学工委推荐学生会员，且每位专家每个学年推荐人数不超过3人；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8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⑻</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由通过专业评估的高校校长、院长或系主任等本领域专家向学工委推荐学生会员，且每位专家每个学年推荐人数不超过3人；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9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⑼</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其他由委员会认可的学术、荣誉、奖励、实践经历等。</w:t>
      </w:r>
    </w:p>
    <w:p>
      <w:pPr>
        <w:spacing w:before="156" w:beforeLines="50"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3 其他：</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1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⑴</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申请加入中国建筑学会学生会员的学生需登陆中国建筑学会官方网站进行在线会员申请；</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⑵ 中国建筑学会学生会员身份随其学业完成而终止，中国建筑学会学生会员可在其学业完成截止时间的1年内，向学工委提交转成中国建筑学会会员申请，经委员会审核通过后报中国建筑学会备案，并转成中国建筑学会会员；</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3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⑶</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学工委学生委员和中国建筑学会学生会员是其所在院校的优秀学生代表，其在处理学工委、学生委员或学生会员代表大会等相关事务时，学生代表所在院校应尽可能提供必要的活动支持（如必要的会议参加许可、活动举办、相关经费支持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fldChar w:fldCharType="begin"/>
      </w:r>
      <w:r>
        <w:rPr>
          <w:rFonts w:asciiTheme="minorEastAsia" w:hAnsiTheme="minorEastAsia"/>
          <w:color w:val="000000" w:themeColor="text1"/>
          <w:sz w:val="24"/>
          <w:szCs w:val="24"/>
          <w14:textFill>
            <w14:solidFill>
              <w14:schemeClr w14:val="tx1"/>
            </w14:solidFill>
          </w14:textFill>
        </w:rPr>
        <w:instrText xml:space="preserve"> </w:instrText>
      </w:r>
      <w:r>
        <w:rPr>
          <w:rFonts w:hint="eastAsia" w:asciiTheme="minorEastAsia" w:hAnsiTheme="minorEastAsia"/>
          <w:color w:val="000000" w:themeColor="text1"/>
          <w:sz w:val="24"/>
          <w:szCs w:val="24"/>
          <w14:textFill>
            <w14:solidFill>
              <w14:schemeClr w14:val="tx1"/>
            </w14:solidFill>
          </w14:textFill>
        </w:rPr>
        <w:instrText xml:space="preserve">= 4 \* GB2</w:instrText>
      </w:r>
      <w:r>
        <w:rPr>
          <w:rFonts w:asciiTheme="minorEastAsia" w:hAnsiTheme="minorEastAsia"/>
          <w:color w:val="000000" w:themeColor="text1"/>
          <w:sz w:val="24"/>
          <w:szCs w:val="24"/>
          <w14:textFill>
            <w14:solidFill>
              <w14:schemeClr w14:val="tx1"/>
            </w14:solidFill>
          </w14:textFill>
        </w:rPr>
        <w:instrText xml:space="preserve"> </w:instrText>
      </w:r>
      <w:r>
        <w:rPr>
          <w:rFonts w:asciiTheme="minorEastAsia" w:hAnsiTheme="minorEastAsia"/>
          <w:color w:val="000000" w:themeColor="text1"/>
          <w:sz w:val="24"/>
          <w:szCs w:val="24"/>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⑷</w:t>
      </w:r>
      <w:r>
        <w:rPr>
          <w:rFonts w:asciiTheme="minorEastAsia" w:hAnsiTheme="minorEastAsia"/>
          <w:color w:val="000000" w:themeColor="text1"/>
          <w:sz w:val="24"/>
          <w:szCs w:val="24"/>
          <w14:textFill>
            <w14:solidFill>
              <w14:schemeClr w14:val="tx1"/>
            </w14:solidFill>
          </w14:textFill>
        </w:rPr>
        <w:fldChar w:fldCharType="end"/>
      </w:r>
      <w:r>
        <w:rPr>
          <w:rFonts w:hint="eastAsia" w:asciiTheme="minorEastAsia" w:hAnsiTheme="minorEastAsia"/>
          <w:color w:val="000000" w:themeColor="text1"/>
          <w:sz w:val="24"/>
          <w:szCs w:val="24"/>
          <w14:textFill>
            <w14:solidFill>
              <w14:schemeClr w14:val="tx1"/>
            </w14:solidFill>
          </w14:textFill>
        </w:rPr>
        <w:t xml:space="preserve"> 中国建筑学会学生会员应于每年4月中旬向学工委秘书处上报上一年度学习总结简表和进行会员年度注册，学工委秘书处依此对学生会员进行评估总结。</w:t>
      </w:r>
    </w:p>
    <w:p>
      <w:pPr>
        <w:spacing w:line="360" w:lineRule="auto"/>
        <w:ind w:firstLine="422"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备注：国内竞赛认可与否将取决于竞赛的规模、参与人数与影响力。</w:t>
      </w:r>
    </w:p>
    <w:p>
      <w:pPr>
        <w:spacing w:line="360" w:lineRule="auto"/>
        <w:jc w:val="right"/>
        <w:rPr>
          <w:rFonts w:asciiTheme="minorEastAsia" w:hAnsiTheme="minorEastAsia"/>
          <w:color w:val="000000" w:themeColor="text1"/>
          <w:sz w:val="24"/>
          <w:szCs w:val="24"/>
          <w14:textFill>
            <w14:solidFill>
              <w14:schemeClr w14:val="tx1"/>
            </w14:solidFill>
          </w14:textFill>
        </w:rPr>
      </w:pPr>
    </w:p>
    <w:p>
      <w:pPr>
        <w:spacing w:line="360" w:lineRule="auto"/>
        <w:jc w:val="right"/>
        <w:rPr>
          <w:rFonts w:asciiTheme="minorEastAsia" w:hAnsiTheme="minorEastAsia"/>
          <w:color w:val="000000" w:themeColor="text1"/>
          <w:sz w:val="24"/>
          <w:szCs w:val="24"/>
          <w14:textFill>
            <w14:solidFill>
              <w14:schemeClr w14:val="tx1"/>
            </w14:solidFill>
          </w14:textFill>
        </w:rPr>
      </w:pPr>
    </w:p>
    <w:p>
      <w:pPr>
        <w:wordWrap w:val="0"/>
        <w:spacing w:line="360" w:lineRule="auto"/>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中国建筑学会学生工作委员会秘书处</w:t>
      </w:r>
    </w:p>
    <w:p>
      <w:pPr>
        <w:wordWrap w:val="0"/>
        <w:spacing w:line="360" w:lineRule="auto"/>
        <w:ind w:right="484"/>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2018年04月22日    </w:t>
      </w:r>
    </w:p>
    <w:p>
      <w:pPr>
        <w:widowControl/>
        <w:jc w:val="left"/>
        <w:rPr>
          <w:rFonts w:asciiTheme="minorEastAsia" w:hAnsiTheme="minorEastAsia"/>
          <w:b/>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iti SC Light">
    <w:altName w:val="Microsoft YaHei UI Light"/>
    <w:panose1 w:val="02000000000000000000"/>
    <w:charset w:val="50"/>
    <w:family w:val="auto"/>
    <w:pitch w:val="default"/>
    <w:sig w:usb0="00000000" w:usb1="00000000" w:usb2="00000010" w:usb3="00000000" w:csb0="003E0000" w:csb1="00000000"/>
  </w:font>
  <w:font w:name="Helvetica">
    <w:altName w:val="Arial"/>
    <w:panose1 w:val="00000000000000000000"/>
    <w:charset w:val="00"/>
    <w:family w:val="auto"/>
    <w:pitch w:val="default"/>
    <w:sig w:usb0="00000000" w:usb1="00000000" w:usb2="00000000" w:usb3="00000000" w:csb0="0000019F" w:csb1="00000000"/>
  </w:font>
  <w:font w:name="Microsoft YaHei UI Light">
    <w:panose1 w:val="020B0502040204020203"/>
    <w:charset w:val="86"/>
    <w:family w:val="auto"/>
    <w:pitch w:val="default"/>
    <w:sig w:usb0="A00002BF" w:usb1="28CF0010" w:usb2="00000016" w:usb3="00000000" w:csb0="0004000F" w:csb1="00000000"/>
  </w:font>
  <w:font w:name="Microsoft YaHei UI Light">
    <w:panose1 w:val="020B0502040204020203"/>
    <w:charset w:val="50"/>
    <w:family w:val="auto"/>
    <w:pitch w:val="default"/>
    <w:sig w:usb0="A00002BF" w:usb1="28CF0010" w:usb2="00000016" w:usb3="00000000" w:csb0="0004000F" w:csb1="00000000"/>
  </w:font>
  <w:font w:name="黑体">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03"/>
    <w:rsid w:val="000B6E43"/>
    <w:rsid w:val="00321EFA"/>
    <w:rsid w:val="0047420C"/>
    <w:rsid w:val="005D6C44"/>
    <w:rsid w:val="00612651"/>
    <w:rsid w:val="006F1903"/>
    <w:rsid w:val="008B5FEC"/>
    <w:rsid w:val="008C7A64"/>
    <w:rsid w:val="009C0EAE"/>
    <w:rsid w:val="00BB150E"/>
    <w:rsid w:val="00BF32B6"/>
    <w:rsid w:val="00D31381"/>
    <w:rsid w:val="2F0E5C5E"/>
    <w:rsid w:val="699A2A73"/>
    <w:rsid w:val="6CE06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4"/>
    <w:link w:val="3"/>
    <w:uiPriority w:val="99"/>
    <w:rPr>
      <w:sz w:val="18"/>
      <w:szCs w:val="18"/>
    </w:rPr>
  </w:style>
  <w:style w:type="character" w:customStyle="1" w:styleId="7">
    <w:name w:val="页脚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清华大学建筑学院</Company>
  <Pages>2</Pages>
  <Words>796</Words>
  <Characters>821</Characters>
  <Lines>28</Lines>
  <Paragraphs>13</Paragraphs>
  <TotalTime>0</TotalTime>
  <ScaleCrop>false</ScaleCrop>
  <LinksUpToDate>false</LinksUpToDate>
  <CharactersWithSpaces>1604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2017-06-13T10:16:00Z</dcterms:created>
  <dc:creator>党雨田</dc:creator>
  <cp:lastModifiedBy>john</cp:lastModifiedBy>
  <dcterms:modified xsi:type="dcterms:W3CDTF">2018-04-25T08:02:28Z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